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СПРАВКА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ОБОСНОВАНИЕ</w:t>
      </w:r>
    </w:p>
    <w:p>
      <w:pPr>
        <w:pStyle w:val="11"/>
        <w:jc w:val="center"/>
        <w:rPr>
          <w:rFonts w:hint="default"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  <w:r>
        <w:rPr>
          <w:rFonts w:ascii="Times New Roman" w:hAnsi="Times New Roman"/>
          <w:b/>
          <w:sz w:val="24"/>
          <w:szCs w:val="24"/>
          <w:lang w:val="ky-KG"/>
        </w:rPr>
        <w:t>О</w:t>
      </w:r>
      <w:r>
        <w:rPr>
          <w:rFonts w:hint="default" w:ascii="Times New Roman" w:hAnsi="Times New Roman"/>
          <w:b/>
          <w:sz w:val="24"/>
          <w:szCs w:val="24"/>
          <w:lang w:val="ky-KG"/>
        </w:rPr>
        <w:t xml:space="preserve"> внесении изменений в </w:t>
      </w:r>
    </w:p>
    <w:p>
      <w:pPr>
        <w:pStyle w:val="11"/>
        <w:jc w:val="center"/>
        <w:rPr>
          <w:rFonts w:hint="default" w:ascii="Times New Roman" w:hAnsi="Times New Roman"/>
          <w:b/>
          <w:sz w:val="24"/>
          <w:szCs w:val="24"/>
          <w:lang w:val="ky-KG"/>
        </w:rPr>
      </w:pPr>
      <w:r>
        <w:rPr>
          <w:rFonts w:hint="default" w:ascii="Times New Roman" w:hAnsi="Times New Roman"/>
          <w:b/>
          <w:sz w:val="24"/>
          <w:szCs w:val="24"/>
          <w:lang w:val="ky-KG"/>
        </w:rPr>
        <w:t xml:space="preserve">Закон Кыргызской Республики “О ремесленной деятельности в </w:t>
      </w:r>
    </w:p>
    <w:p>
      <w:pPr>
        <w:pStyle w:val="11"/>
        <w:jc w:val="center"/>
        <w:rPr>
          <w:rFonts w:hint="default" w:ascii="Times New Roman" w:hAnsi="Times New Roman"/>
          <w:b/>
          <w:sz w:val="24"/>
          <w:szCs w:val="24"/>
          <w:lang w:val="ky-KG"/>
        </w:rPr>
      </w:pPr>
      <w:r>
        <w:rPr>
          <w:rFonts w:hint="default" w:ascii="Times New Roman" w:hAnsi="Times New Roman"/>
          <w:b/>
          <w:sz w:val="24"/>
          <w:szCs w:val="24"/>
          <w:lang w:val="ky-KG"/>
        </w:rPr>
        <w:t>Кыргызской Республике”</w:t>
      </w:r>
    </w:p>
    <w:p>
      <w:pPr>
        <w:tabs>
          <w:tab w:val="left" w:pos="0"/>
          <w:tab w:val="left" w:pos="10206"/>
        </w:tabs>
        <w:spacing w:after="0" w:line="240" w:lineRule="auto"/>
        <w:ind w:right="-7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11"/>
        <w:ind w:firstLine="708" w:firstLineChars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Настоящий проект Закона Кыргызской Республики «О внесении изменений в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Закон Кыргызской Республики 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ky-KG"/>
        </w:rPr>
        <w:t xml:space="preserve"> “О ремесленной деятельности в  Кыргызской Республике” </w:t>
      </w:r>
      <w:r>
        <w:rPr>
          <w:rFonts w:ascii="Times New Roman" w:hAnsi="Times New Roman" w:cs="Times New Roman"/>
          <w:sz w:val="24"/>
          <w:szCs w:val="24"/>
        </w:rPr>
        <w:t xml:space="preserve">разработан во исполнение Указа Президента Кыргызской Республики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от 8 февраля 2021 года УП № 26 «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eastAsia="ru-RU"/>
        </w:rPr>
        <w:t>О проведении инвентаризации законодательства Кыргызской Республики».</w:t>
      </w:r>
    </w:p>
    <w:p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pacing w:val="5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Основной целью является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оптимизация и совершенствование законодательной базы на основании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Методологии проведения инвентаризации законодательства Кыргызской Республики, утвержденной приказом Министерства юстиции Кыргызской Республики (далее – Методология).</w:t>
      </w:r>
    </w:p>
    <w:p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В целом, результаты оценки Закона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О возрождении, развитии и сохранении народного художественного промысла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были одобрены на очередном заседании Межведомственной экспертной группы (Протокол заседания от 20 сентября 2021 г. № 02-2/10217).</w:t>
      </w:r>
    </w:p>
    <w:p>
      <w:pPr>
        <w:tabs>
          <w:tab w:val="left" w:pos="0"/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Анализ, согласно Методологии, проводился на основании 5 критериев оценки:</w:t>
      </w:r>
    </w:p>
    <w:p>
      <w:pPr>
        <w:pStyle w:val="7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</w:pPr>
      <w:r>
        <w:rPr>
          <w:lang w:val="ky-KG"/>
        </w:rPr>
        <w:t>з</w:t>
      </w:r>
      <w:r>
        <w:t>аконность, единство предмета регулирования, правовая определенность и системность;</w:t>
      </w:r>
    </w:p>
    <w:p>
      <w:pPr>
        <w:pStyle w:val="7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</w:pPr>
      <w:r>
        <w:rPr>
          <w:lang w:val="ky-KG"/>
        </w:rPr>
        <w:t>а</w:t>
      </w:r>
      <w:r>
        <w:t>ктуальность, необходимость и обоснованность;</w:t>
      </w:r>
    </w:p>
    <w:p>
      <w:pPr>
        <w:pStyle w:val="7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</w:pPr>
      <w:r>
        <w:rPr>
          <w:lang w:val="ky-KG"/>
        </w:rPr>
        <w:t>о</w:t>
      </w:r>
      <w:r>
        <w:t>ткрытость и предсказуемость;</w:t>
      </w:r>
    </w:p>
    <w:p>
      <w:pPr>
        <w:pStyle w:val="7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</w:pPr>
      <w:r>
        <w:rPr>
          <w:lang w:val="ky-KG"/>
        </w:rPr>
        <w:t>и</w:t>
      </w:r>
      <w:r>
        <w:t>сполнимость и обязательность;</w:t>
      </w:r>
    </w:p>
    <w:p>
      <w:pPr>
        <w:pStyle w:val="7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</w:pPr>
      <w:r>
        <w:rPr>
          <w:lang w:val="ky-KG"/>
        </w:rPr>
        <w:t>у</w:t>
      </w:r>
      <w:r>
        <w:t>чет интересов бизнеса.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Закон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 возрождении, развитии и сохранении народного художественного промысла» от 16 марта 2006 года № 77 регулирует отношения в области возрождения, развития и сохранения народного художественного промысла и ремесленного дела на территории Кыргызской Республики.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Следует отметить, что 8 февраля 2022 года принят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Закон Кыргызской Республики </w:t>
      </w:r>
      <w:r>
        <w:rPr>
          <w:rFonts w:ascii="Times New Roman" w:hAnsi="Times New Roman" w:cs="Times New Roman"/>
          <w:bCs/>
          <w:sz w:val="24"/>
          <w:szCs w:val="24"/>
        </w:rPr>
        <w:t xml:space="preserve">«О ремесленной деятельности в Кыргызской Республике», в котором содержатся нормы, дублирующие Закон 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О возрождении, развитии и сохранении народного художественного промысла», а также некоторые противоречия, которые ведут к коллизиям. 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3 варианта регулирования.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1. Оставить как есть;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2. Внесние изменений в Закон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 возрождении, развитии и сохранении народного художественного промысла»;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Прекращение действия Закона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 возрождении, развитии и сохранении народного художественного промысла»;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pStyle w:val="8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Вариант регулирования 1.</w:t>
      </w:r>
    </w:p>
    <w:p>
      <w:pPr>
        <w:pStyle w:val="8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Данный вариант не меняет регулирование.  В связи с тем, что сферу деятельности ремесленничества регулируют два нормативных правовых акта, возникают </w:t>
      </w:r>
      <w:r>
        <w:rPr>
          <w:rFonts w:ascii="Times New Roman" w:hAnsi="Times New Roman" w:cs="Times New Roman"/>
          <w:sz w:val="24"/>
          <w:szCs w:val="24"/>
          <w:lang w:val="ky-KG"/>
        </w:rPr>
        <w:t>дублирующие нормы и</w:t>
      </w:r>
      <w:r>
        <w:rPr>
          <w:rFonts w:ascii="Times New Roman" w:hAnsi="Times New Roman" w:cs="Times New Roman"/>
          <w:sz w:val="24"/>
          <w:szCs w:val="24"/>
        </w:rPr>
        <w:t xml:space="preserve"> коллизии.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>
      <w:pPr>
        <w:pStyle w:val="8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>Вариант регулирования 2.</w:t>
      </w:r>
    </w:p>
    <w:p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Данным вариантом, предусматривающим внесение изменений в Закон Кыргызской Республики «О возрождении, </w:t>
      </w:r>
      <w:r>
        <w:rPr>
          <w:rFonts w:ascii="Times New Roman" w:hAnsi="Times New Roman"/>
          <w:sz w:val="24"/>
          <w:szCs w:val="24"/>
        </w:rPr>
        <w:t xml:space="preserve">развитии и сохранении народного художественного промысла», предлагается регулирование одной сферы деятельности двумя равнозначными нормативными правовыми актами, что </w:t>
      </w:r>
      <w:r>
        <w:rPr>
          <w:rFonts w:ascii="Times New Roman" w:hAnsi="Times New Roman" w:cs="Times New Roman"/>
          <w:sz w:val="24"/>
          <w:szCs w:val="24"/>
        </w:rPr>
        <w:t xml:space="preserve">вызовет неоднозначность трактовок, противоречивость в определениях и повлечет риски, указанные в варианте 1. </w:t>
      </w:r>
    </w:p>
    <w:p>
      <w:pPr>
        <w:pStyle w:val="8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100305124"/>
      <w:r>
        <w:rPr>
          <w:rFonts w:ascii="Times New Roman" w:hAnsi="Times New Roman" w:cs="Times New Roman"/>
          <w:sz w:val="24"/>
          <w:szCs w:val="24"/>
        </w:rPr>
        <w:t>Вариант регулирования 3.</w:t>
      </w:r>
    </w:p>
    <w:p>
      <w:pPr>
        <w:pStyle w:val="8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Согласно статьи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33 Закона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О нормативных правовых актах Кыргызской Республики», при выявлении пробелов и коллизий в нормативных правовых актах нормотворческие органы (должностные лица), принявшие их, вносят в них соответствующие дополнения или изменения, устраняющие пробелы и коллизии.</w:t>
      </w:r>
    </w:p>
    <w:p>
      <w:pPr>
        <w:pStyle w:val="8"/>
        <w:tabs>
          <w:tab w:val="left" w:pos="0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Данный вариант предусматривает утрату силы Закона Кыргызской Республики «О возрождении, </w:t>
      </w:r>
      <w:r>
        <w:rPr>
          <w:rFonts w:ascii="Times New Roman" w:hAnsi="Times New Roman"/>
          <w:sz w:val="24"/>
          <w:szCs w:val="24"/>
        </w:rPr>
        <w:t>развитии и сохранении народного художественного промысла», путем внесения изменения в Закон Кыргызской Республики «</w:t>
      </w:r>
      <w:r>
        <w:rPr>
          <w:rFonts w:ascii="Times New Roman" w:hAnsi="Times New Roman"/>
          <w:bCs/>
          <w:sz w:val="24"/>
          <w:szCs w:val="24"/>
        </w:rPr>
        <w:t xml:space="preserve">О ремесленной деятельности в Кыргызской Республике». </w:t>
      </w:r>
    </w:p>
    <w:bookmarkEnd w:id="0"/>
    <w:p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воздействия на основные адресаты регулирования:</w:t>
      </w:r>
    </w:p>
    <w:p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уполномоченный государственный орган, ремесленный сектор. </w:t>
      </w:r>
    </w:p>
    <w:p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sz w:val="24"/>
          <w:szCs w:val="24"/>
        </w:rPr>
        <w:t>Позитивное последствие</w:t>
      </w:r>
      <w:r>
        <w:rPr>
          <w:rFonts w:ascii="Times New Roman" w:hAnsi="Times New Roman" w:cs="Times New Roman"/>
          <w:sz w:val="24"/>
          <w:szCs w:val="24"/>
        </w:rPr>
        <w:t>: е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динообразное толкование законодательства, позволяющее более качественно развивать отрасль ремесленничества. </w:t>
      </w:r>
    </w:p>
    <w:p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Негативное последствие</w:t>
      </w:r>
      <w:r>
        <w:rPr>
          <w:rFonts w:ascii="Times New Roman" w:hAnsi="Times New Roman" w:cs="Times New Roman"/>
          <w:sz w:val="24"/>
          <w:szCs w:val="24"/>
        </w:rPr>
        <w:t>: отсутствует.</w:t>
      </w:r>
    </w:p>
    <w:p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0281639"/>
      <w:r>
        <w:rPr>
          <w:rFonts w:ascii="Times New Roman" w:hAnsi="Times New Roman" w:cs="Times New Roman"/>
          <w:i/>
          <w:sz w:val="24"/>
          <w:szCs w:val="24"/>
        </w:rPr>
        <w:t>Общий вывод по оценкам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На основании анализа, наиболее приемлемым вариантом предлагается вариант регулирования 3.</w:t>
      </w:r>
    </w:p>
    <w:p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Предложенное регулирование позволяет обеспечить прогресс в достижении цели и решить идентифицированные проблемы. Воздействия на основных адресатов регулирования являются не обременительными и соответствуют их ожиданиям улучшения регулирования</w:t>
      </w:r>
      <w:bookmarkEnd w:id="1"/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  </w:t>
      </w:r>
    </w:p>
    <w:p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в целях проведения общественного обсуждения направлен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размещение на официальном сайте Кабинета Министров Кыргызской Республики (исх№ __________________________), </w:t>
      </w:r>
      <w:r>
        <w:rPr>
          <w:rFonts w:ascii="Times New Roman" w:hAnsi="Times New Roman" w:cs="Times New Roman"/>
          <w:sz w:val="24"/>
          <w:szCs w:val="24"/>
        </w:rPr>
        <w:t>на Едином портале общественного обсуждения проектов нормативных правовых актов Кыргызской Республики (http://koomtalkuu.gov.kg/ru/npa-view/1643).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По итогам общественного обсуждения замечаний и предложений не поступало.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pStyle w:val="8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>
      <w:pPr>
        <w:pStyle w:val="8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>Принятие настоящего проекта Закона не повлечет дополнительных финансовых затрат из республиканского бюджета.</w:t>
      </w:r>
    </w:p>
    <w:p>
      <w:pPr>
        <w:tabs>
          <w:tab w:val="left" w:pos="0"/>
        </w:tabs>
        <w:spacing w:after="0" w:line="240" w:lineRule="auto"/>
        <w:ind w:firstLine="851"/>
        <w:jc w:val="both"/>
        <w:rPr>
          <w:rFonts w:hint="default"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Анализ регулятивного воздействия к проекту не требуется,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ввиду того что вносимые изменения и дополнения не направлены на регулирование предпринимательской деятельности</w:t>
      </w:r>
      <w:r>
        <w:rPr>
          <w:rFonts w:hint="default" w:ascii="Times New Roman" w:hAnsi="Times New Roman" w:cs="Times New Roman"/>
          <w:sz w:val="24"/>
          <w:szCs w:val="24"/>
          <w:lang w:val="ky-KG"/>
        </w:rPr>
        <w:t>.</w:t>
      </w:r>
    </w:p>
    <w:p>
      <w:pPr>
        <w:tabs>
          <w:tab w:val="left" w:pos="0"/>
        </w:tabs>
        <w:spacing w:after="0" w:line="240" w:lineRule="auto"/>
        <w:ind w:firstLine="851"/>
        <w:jc w:val="both"/>
        <w:rPr>
          <w:rFonts w:hint="default" w:ascii="Times New Roman" w:hAnsi="Times New Roman" w:cs="Times New Roman"/>
          <w:sz w:val="24"/>
          <w:szCs w:val="24"/>
          <w:lang w:val="ky-KG"/>
        </w:rPr>
      </w:pPr>
    </w:p>
    <w:p>
      <w:pPr>
        <w:tabs>
          <w:tab w:val="left" w:pos="0"/>
        </w:tabs>
        <w:spacing w:after="0" w:line="240" w:lineRule="auto"/>
        <w:ind w:firstLine="851"/>
        <w:jc w:val="both"/>
        <w:rPr>
          <w:rFonts w:hint="default" w:ascii="Times New Roman" w:hAnsi="Times New Roman" w:cs="Times New Roman"/>
          <w:sz w:val="24"/>
          <w:szCs w:val="24"/>
          <w:lang w:val="ky-KG"/>
        </w:rPr>
      </w:pPr>
      <w:bookmarkStart w:id="2" w:name="_GoBack"/>
      <w:bookmarkEnd w:id="2"/>
    </w:p>
    <w:p>
      <w:pPr>
        <w:pStyle w:val="1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Министр культуры, информации, </w:t>
      </w:r>
    </w:p>
    <w:p>
      <w:pPr>
        <w:pStyle w:val="1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спорта и молодежной политики</w:t>
      </w:r>
    </w:p>
    <w:p>
      <w:pPr>
        <w:pStyle w:val="11"/>
        <w:jc w:val="both"/>
        <w:rPr>
          <w:rFonts w:hint="default"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Кыргызской Республики                                                                 А</w:t>
      </w:r>
      <w:r>
        <w:rPr>
          <w:rFonts w:hint="default" w:ascii="Times New Roman" w:hAnsi="Times New Roman" w:cs="Times New Roman"/>
          <w:b/>
          <w:sz w:val="24"/>
          <w:szCs w:val="24"/>
          <w:lang w:val="ky-KG"/>
        </w:rPr>
        <w:t>. Жаманкулов</w:t>
      </w:r>
    </w:p>
    <w:sectPr>
      <w:pgSz w:w="11906" w:h="16838"/>
      <w:pgMar w:top="1134" w:right="170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F94E32"/>
    <w:multiLevelType w:val="multilevel"/>
    <w:tmpl w:val="5EF94E32"/>
    <w:lvl w:ilvl="0" w:tentative="0">
      <w:start w:val="8"/>
      <w:numFmt w:val="bullet"/>
      <w:lvlText w:val="-"/>
      <w:lvlJc w:val="left"/>
      <w:pPr>
        <w:ind w:left="1280" w:hanging="360"/>
      </w:pPr>
      <w:rPr>
        <w:rFonts w:hint="default" w:ascii="Times New Roman" w:hAnsi="Times New Roman" w:cs="Times New Roman" w:eastAsiaTheme="minorHAnsi"/>
      </w:rPr>
    </w:lvl>
    <w:lvl w:ilvl="1" w:tentative="0">
      <w:start w:val="0"/>
      <w:numFmt w:val="bullet"/>
      <w:lvlText w:val="•"/>
      <w:lvlJc w:val="left"/>
      <w:pPr>
        <w:ind w:left="2000" w:hanging="360"/>
      </w:pPr>
      <w:rPr>
        <w:rFonts w:hint="default" w:ascii="Times New Roman" w:hAnsi="Times New Roman" w:cs="Times New Roman" w:eastAsiaTheme="minorHAnsi"/>
      </w:rPr>
    </w:lvl>
    <w:lvl w:ilvl="2" w:tentative="0">
      <w:start w:val="1"/>
      <w:numFmt w:val="bullet"/>
      <w:lvlText w:val=""/>
      <w:lvlJc w:val="left"/>
      <w:pPr>
        <w:ind w:left="27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9D1"/>
    <w:rsid w:val="00026759"/>
    <w:rsid w:val="00054F9F"/>
    <w:rsid w:val="000671A5"/>
    <w:rsid w:val="000C1FFE"/>
    <w:rsid w:val="00100532"/>
    <w:rsid w:val="00116BEA"/>
    <w:rsid w:val="00141155"/>
    <w:rsid w:val="00161362"/>
    <w:rsid w:val="0023461D"/>
    <w:rsid w:val="002917B6"/>
    <w:rsid w:val="002A795F"/>
    <w:rsid w:val="002C1227"/>
    <w:rsid w:val="002F48D6"/>
    <w:rsid w:val="0031558A"/>
    <w:rsid w:val="00330154"/>
    <w:rsid w:val="00346070"/>
    <w:rsid w:val="003A264A"/>
    <w:rsid w:val="00406C68"/>
    <w:rsid w:val="004C79DD"/>
    <w:rsid w:val="004D0804"/>
    <w:rsid w:val="00513645"/>
    <w:rsid w:val="0053158B"/>
    <w:rsid w:val="005452AA"/>
    <w:rsid w:val="00547FCF"/>
    <w:rsid w:val="0059742C"/>
    <w:rsid w:val="005C6D68"/>
    <w:rsid w:val="005F30DC"/>
    <w:rsid w:val="00606878"/>
    <w:rsid w:val="006F2AA4"/>
    <w:rsid w:val="007B47A0"/>
    <w:rsid w:val="007B4ADD"/>
    <w:rsid w:val="007C567D"/>
    <w:rsid w:val="0080620F"/>
    <w:rsid w:val="00843908"/>
    <w:rsid w:val="009511D8"/>
    <w:rsid w:val="00997552"/>
    <w:rsid w:val="009C476C"/>
    <w:rsid w:val="009E285C"/>
    <w:rsid w:val="009E44CA"/>
    <w:rsid w:val="00A13171"/>
    <w:rsid w:val="00A26C6B"/>
    <w:rsid w:val="00B818D0"/>
    <w:rsid w:val="00B919D1"/>
    <w:rsid w:val="00B95BC0"/>
    <w:rsid w:val="00BB308E"/>
    <w:rsid w:val="00BD679C"/>
    <w:rsid w:val="00C066F9"/>
    <w:rsid w:val="00C07977"/>
    <w:rsid w:val="00C14A63"/>
    <w:rsid w:val="00C84F22"/>
    <w:rsid w:val="00CA6F60"/>
    <w:rsid w:val="00CB50B6"/>
    <w:rsid w:val="00CD0C05"/>
    <w:rsid w:val="00D43528"/>
    <w:rsid w:val="00D76246"/>
    <w:rsid w:val="00D95585"/>
    <w:rsid w:val="00DB389A"/>
    <w:rsid w:val="00DD3A48"/>
    <w:rsid w:val="00DE3C76"/>
    <w:rsid w:val="00E14738"/>
    <w:rsid w:val="00E15BCD"/>
    <w:rsid w:val="00E26435"/>
    <w:rsid w:val="00E412E1"/>
    <w:rsid w:val="00E774C7"/>
    <w:rsid w:val="00E8718E"/>
    <w:rsid w:val="00E96812"/>
    <w:rsid w:val="00F26C4B"/>
    <w:rsid w:val="00FA55E4"/>
    <w:rsid w:val="09F2225F"/>
    <w:rsid w:val="167506BD"/>
    <w:rsid w:val="38AA4229"/>
    <w:rsid w:val="456D0411"/>
    <w:rsid w:val="6B642CB2"/>
    <w:rsid w:val="7A3A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6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8">
    <w:name w:val="_Текст обычный (tkTekst)"/>
    <w:basedOn w:val="1"/>
    <w:uiPriority w:val="0"/>
    <w:pPr>
      <w:spacing w:after="60" w:line="276" w:lineRule="auto"/>
      <w:ind w:firstLine="567"/>
      <w:jc w:val="both"/>
    </w:pPr>
    <w:rPr>
      <w:rFonts w:ascii="Arial" w:hAnsi="Arial" w:eastAsia="Times New Roman" w:cs="Arial"/>
      <w:sz w:val="20"/>
      <w:szCs w:val="20"/>
      <w:lang w:eastAsia="ru-RU"/>
    </w:rPr>
  </w:style>
  <w:style w:type="character" w:customStyle="1" w:styleId="9">
    <w:name w:val="Unresolved Mention"/>
    <w:basedOn w:val="2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Текст выноски Знак"/>
    <w:basedOn w:val="2"/>
    <w:link w:val="5"/>
    <w:semiHidden/>
    <w:uiPriority w:val="99"/>
    <w:rPr>
      <w:rFonts w:ascii="Segoe UI" w:hAnsi="Segoe UI" w:cs="Segoe UI"/>
      <w:sz w:val="18"/>
      <w:szCs w:val="18"/>
    </w:rPr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821</Words>
  <Characters>4686</Characters>
  <Lines>39</Lines>
  <Paragraphs>10</Paragraphs>
  <TotalTime>4</TotalTime>
  <ScaleCrop>false</ScaleCrop>
  <LinksUpToDate>false</LinksUpToDate>
  <CharactersWithSpaces>5497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2021-11-30T04:23:00Z</dcterms:created>
  <dc:creator>Пользователь</dc:creator>
  <cp:lastModifiedBy>Жипара</cp:lastModifiedBy>
  <cp:lastPrinted>2022-04-14T07:04:58Z</cp:lastPrinted>
  <dcterms:modified xsi:type="dcterms:W3CDTF">2022-04-14T07:06:28Z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6981057BB0C841EABA393D64F6DFD013</vt:lpwstr>
  </property>
</Properties>
</file>